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6C3D" w14:textId="262DEAC1" w:rsidR="00061A3C" w:rsidRDefault="00C4451D" w:rsidP="00CF5CA5">
      <w:pPr>
        <w:jc w:val="center"/>
        <w:rPr>
          <w:b/>
          <w:bCs/>
          <w:caps/>
          <w:kern w:val="28"/>
          <w:sz w:val="28"/>
          <w:szCs w:val="32"/>
          <w:lang w:val="en-GB"/>
        </w:rPr>
      </w:pPr>
      <w:r>
        <w:rPr>
          <w:b/>
          <w:bCs/>
          <w:caps/>
          <w:kern w:val="28"/>
          <w:sz w:val="28"/>
          <w:szCs w:val="32"/>
          <w:lang w:val="en-GB"/>
        </w:rPr>
        <w:t xml:space="preserve">Ranking </w:t>
      </w:r>
      <w:r w:rsidR="00A632D2">
        <w:rPr>
          <w:b/>
          <w:bCs/>
          <w:caps/>
          <w:kern w:val="28"/>
          <w:sz w:val="28"/>
          <w:szCs w:val="32"/>
          <w:lang w:val="en-GB"/>
        </w:rPr>
        <w:t>implant loading</w:t>
      </w:r>
      <w:r>
        <w:rPr>
          <w:b/>
          <w:bCs/>
          <w:caps/>
          <w:kern w:val="28"/>
          <w:sz w:val="28"/>
          <w:szCs w:val="32"/>
          <w:lang w:val="en-GB"/>
        </w:rPr>
        <w:t xml:space="preserve"> during high-impact exercises in people with </w:t>
      </w:r>
      <w:r w:rsidR="00F41A4B">
        <w:rPr>
          <w:b/>
          <w:bCs/>
          <w:caps/>
          <w:kern w:val="28"/>
          <w:sz w:val="28"/>
          <w:szCs w:val="32"/>
          <w:lang w:val="en-GB"/>
        </w:rPr>
        <w:t>total hip</w:t>
      </w:r>
      <w:r>
        <w:rPr>
          <w:b/>
          <w:bCs/>
          <w:caps/>
          <w:kern w:val="28"/>
          <w:sz w:val="28"/>
          <w:szCs w:val="32"/>
          <w:lang w:val="en-GB"/>
        </w:rPr>
        <w:t xml:space="preserve"> replacements</w:t>
      </w:r>
    </w:p>
    <w:p w14:paraId="566BD757" w14:textId="52263671" w:rsidR="00FD7988" w:rsidRPr="00FD7988" w:rsidRDefault="00FD7988" w:rsidP="00FD7988">
      <w:pPr>
        <w:jc w:val="center"/>
        <w:rPr>
          <w:color w:val="000000" w:themeColor="text1"/>
        </w:rPr>
      </w:pPr>
      <w:r w:rsidRPr="00FD7988">
        <w:rPr>
          <w:color w:val="000000" w:themeColor="text1"/>
        </w:rPr>
        <w:t>Bernard X.W. Liew</w:t>
      </w:r>
      <w:r>
        <w:rPr>
          <w:color w:val="000000" w:themeColor="text1"/>
        </w:rPr>
        <w:t xml:space="preserve"> (1)</w:t>
      </w:r>
      <w:r w:rsidRPr="00FD7988">
        <w:rPr>
          <w:color w:val="000000" w:themeColor="text1"/>
        </w:rPr>
        <w:t>, Leiming Gao</w:t>
      </w:r>
      <w:r>
        <w:rPr>
          <w:color w:val="000000" w:themeColor="text1"/>
        </w:rPr>
        <w:t xml:space="preserve"> (2)</w:t>
      </w:r>
      <w:r w:rsidRPr="00FD7988">
        <w:rPr>
          <w:color w:val="000000" w:themeColor="text1"/>
        </w:rPr>
        <w:t>, Stephen McDonnell</w:t>
      </w:r>
      <w:r>
        <w:rPr>
          <w:color w:val="000000" w:themeColor="text1"/>
        </w:rPr>
        <w:t xml:space="preserve"> (3)</w:t>
      </w:r>
      <w:r w:rsidRPr="00FD7988">
        <w:rPr>
          <w:color w:val="000000" w:themeColor="text1"/>
        </w:rPr>
        <w:t>, Wenxing Guo</w:t>
      </w:r>
      <w:r>
        <w:rPr>
          <w:color w:val="000000" w:themeColor="text1"/>
        </w:rPr>
        <w:t xml:space="preserve"> (4)</w:t>
      </w:r>
      <w:r w:rsidRPr="00FD7988">
        <w:rPr>
          <w:color w:val="000000" w:themeColor="text1"/>
        </w:rPr>
        <w:t>, Zainab Altai</w:t>
      </w:r>
      <w:r>
        <w:rPr>
          <w:color w:val="000000" w:themeColor="text1"/>
        </w:rPr>
        <w:t xml:space="preserve"> (1)</w:t>
      </w:r>
      <w:r w:rsidRPr="00FD7988">
        <w:rPr>
          <w:color w:val="000000" w:themeColor="text1"/>
        </w:rPr>
        <w:t>, Ahmed Soliman</w:t>
      </w:r>
      <w:r>
        <w:rPr>
          <w:rFonts w:eastAsia="Calibri" w:cs="Times New Roman"/>
        </w:rPr>
        <w:t xml:space="preserve"> (5)</w:t>
      </w:r>
      <w:r w:rsidRPr="00FD7988">
        <w:rPr>
          <w:rFonts w:eastAsia="Calibri" w:cs="Times New Roman"/>
        </w:rPr>
        <w:t>,</w:t>
      </w:r>
      <w:r w:rsidRPr="00FD7988">
        <w:rPr>
          <w:color w:val="000000" w:themeColor="text1"/>
        </w:rPr>
        <w:t xml:space="preserve"> </w:t>
      </w:r>
      <w:r w:rsidRPr="00FD7988">
        <w:rPr>
          <w:rFonts w:eastAsia="Calibri" w:cs="Times New Roman"/>
        </w:rPr>
        <w:t>Stefan Maas</w:t>
      </w:r>
      <w:r>
        <w:rPr>
          <w:rFonts w:eastAsia="Calibri" w:cs="Times New Roman"/>
        </w:rPr>
        <w:t xml:space="preserve"> (5)</w:t>
      </w:r>
      <w:r w:rsidRPr="00FD7988">
        <w:rPr>
          <w:rFonts w:eastAsia="Calibri" w:cs="Times New Roman"/>
        </w:rPr>
        <w:t xml:space="preserve">, </w:t>
      </w:r>
      <w:r w:rsidRPr="00FD7988">
        <w:rPr>
          <w:color w:val="000000" w:themeColor="text1"/>
        </w:rPr>
        <w:t>Nelson Cortes</w:t>
      </w:r>
      <w:r>
        <w:rPr>
          <w:color w:val="000000" w:themeColor="text1"/>
        </w:rPr>
        <w:t xml:space="preserve"> (1)</w:t>
      </w:r>
    </w:p>
    <w:p w14:paraId="02310ABD" w14:textId="77777777" w:rsidR="00FD7988" w:rsidRPr="00FD7988" w:rsidRDefault="00FD7988" w:rsidP="00FD7988">
      <w:pPr>
        <w:rPr>
          <w:b/>
          <w:color w:val="000000" w:themeColor="text1"/>
        </w:rPr>
      </w:pPr>
    </w:p>
    <w:p w14:paraId="2E7597E1" w14:textId="721C7C1F" w:rsidR="00FD7988" w:rsidRPr="00FD7988" w:rsidRDefault="00FD7988" w:rsidP="00FD7988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>(</w:t>
      </w:r>
      <w:r w:rsidRPr="00FD7988">
        <w:rPr>
          <w:color w:val="000000" w:themeColor="text1"/>
        </w:rPr>
        <w:t>1</w:t>
      </w:r>
      <w:r>
        <w:rPr>
          <w:color w:val="000000" w:themeColor="text1"/>
        </w:rPr>
        <w:t xml:space="preserve">) </w:t>
      </w:r>
      <w:r w:rsidRPr="00FD7988">
        <w:rPr>
          <w:rFonts w:cs="Times New Roman"/>
          <w:color w:val="000000" w:themeColor="text1"/>
        </w:rPr>
        <w:t>School of Sport, Rehabilitation and Exercise Sciences, University of Essex, Colchester, Essex, United Kingdom</w:t>
      </w:r>
    </w:p>
    <w:p w14:paraId="54C4BC15" w14:textId="1448E479" w:rsidR="00FD7988" w:rsidRPr="00FD7988" w:rsidRDefault="00FD7988" w:rsidP="00FD7988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(2) </w:t>
      </w:r>
      <w:r w:rsidRPr="00FD7988">
        <w:rPr>
          <w:rFonts w:cs="Times New Roman"/>
          <w:color w:val="000000" w:themeColor="text1"/>
        </w:rPr>
        <w:t>Department of Engineering, Nottingham Trent University</w:t>
      </w:r>
    </w:p>
    <w:p w14:paraId="1A7058A8" w14:textId="62781941" w:rsidR="00FD7988" w:rsidRPr="00FD7988" w:rsidRDefault="00FD7988" w:rsidP="00FD7988">
      <w:pPr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FD7988">
        <w:rPr>
          <w:color w:val="000000" w:themeColor="text1"/>
        </w:rPr>
        <w:t>Division of Trauma and Orthopaedic Surgery, University of Cambridge, Addenbrooke's Hospital</w:t>
      </w:r>
    </w:p>
    <w:p w14:paraId="6305F581" w14:textId="6FA8A25C" w:rsidR="00FD7988" w:rsidRPr="00FD7988" w:rsidRDefault="00FD7988" w:rsidP="00FD7988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 xml:space="preserve">(4) </w:t>
      </w:r>
      <w:r w:rsidRPr="00FD7988">
        <w:rPr>
          <w:rFonts w:cs="Times New Roman"/>
          <w:color w:val="000000" w:themeColor="text1"/>
        </w:rPr>
        <w:t>School of Mathematics, Statistics and Actuarial Science, University of Essex, Colchester, Essex, United Kingdom</w:t>
      </w:r>
    </w:p>
    <w:p w14:paraId="2DB398A2" w14:textId="75A8CF07" w:rsidR="00FD7988" w:rsidRPr="00FD7988" w:rsidRDefault="00FD7988" w:rsidP="00FD7988">
      <w:pPr>
        <w:rPr>
          <w:rFonts w:eastAsia="Calibri" w:cs="Times New Roman"/>
          <w:color w:val="000000"/>
          <w:lang w:eastAsia="zh-CN"/>
        </w:rPr>
      </w:pPr>
      <w:r>
        <w:rPr>
          <w:color w:val="000000" w:themeColor="text1"/>
        </w:rPr>
        <w:t xml:space="preserve">(5) </w:t>
      </w:r>
      <w:r w:rsidRPr="00FD7988">
        <w:rPr>
          <w:rFonts w:eastAsia="Calibri" w:cs="Times New Roman"/>
          <w:color w:val="000000"/>
          <w:lang w:eastAsia="zh-CN"/>
        </w:rPr>
        <w:t>Department of Engineering, Faculty of Science, Technology and Medicine, University of Luxembourg, Luxembourg</w:t>
      </w:r>
    </w:p>
    <w:p w14:paraId="09F3B95C" w14:textId="77777777" w:rsidR="0005561E" w:rsidRDefault="0005561E" w:rsidP="00BB7058"/>
    <w:p w14:paraId="76B1F9D8" w14:textId="244A4D1D" w:rsidR="00495908" w:rsidRDefault="00495908" w:rsidP="00BB7058">
      <w:r w:rsidRPr="00495908">
        <w:t>Introduction</w:t>
      </w:r>
    </w:p>
    <w:p w14:paraId="4AEF5DE0" w14:textId="49F5D324" w:rsidR="00BB7058" w:rsidRDefault="00BB7058" w:rsidP="00BB7058">
      <w:r>
        <w:t>P</w:t>
      </w:r>
      <w:r w:rsidRPr="005C4EF1">
        <w:t xml:space="preserve">eople with a </w:t>
      </w:r>
      <w:r w:rsidR="00F41A4B">
        <w:t>total hip</w:t>
      </w:r>
      <w:r w:rsidRPr="005C4EF1">
        <w:t xml:space="preserve"> replacement are advised to</w:t>
      </w:r>
      <w:r>
        <w:t xml:space="preserve"> </w:t>
      </w:r>
      <w:r w:rsidRPr="005C4EF1">
        <w:t xml:space="preserve">avoid high-impact </w:t>
      </w:r>
      <w:r w:rsidR="000C21C8">
        <w:t>physical activities (PA)</w:t>
      </w:r>
      <w:r>
        <w:t xml:space="preserve"> </w:t>
      </w:r>
      <w:r w:rsidRPr="005C4EF1">
        <w:t>due to concerns about their safety on the implant</w:t>
      </w:r>
      <w:r>
        <w:t xml:space="preserve">. </w:t>
      </w:r>
      <w:r w:rsidR="006558D9">
        <w:rPr>
          <w:bCs/>
        </w:rPr>
        <w:t>H</w:t>
      </w:r>
      <w:r w:rsidR="006558D9">
        <w:t xml:space="preserve">igh-impact PA is important for people with a joint replacement, given that they are at an age where the risk of osteoporosis is greater. </w:t>
      </w:r>
      <w:r w:rsidR="000C21C8">
        <w:t>However,</w:t>
      </w:r>
      <w:r>
        <w:t xml:space="preserve"> </w:t>
      </w:r>
      <w:r w:rsidR="006558D9">
        <w:t xml:space="preserve">the safety of such PA on the implants is uncertain. This study aims to quantify </w:t>
      </w:r>
      <w:r w:rsidR="00F41A4B">
        <w:t xml:space="preserve">hip </w:t>
      </w:r>
      <w:r w:rsidR="006558D9">
        <w:t>implant lands across a spectrum of high-impact PA in people with a joint replacement.</w:t>
      </w:r>
    </w:p>
    <w:p w14:paraId="27222D82" w14:textId="77777777" w:rsidR="0005561E" w:rsidRDefault="0005561E" w:rsidP="00BA09D4"/>
    <w:p w14:paraId="12238C79" w14:textId="47C9F16F" w:rsidR="00495908" w:rsidRDefault="00495908" w:rsidP="00BA09D4">
      <w:r w:rsidRPr="00495908">
        <w:t>Materials and Methods</w:t>
      </w:r>
    </w:p>
    <w:p w14:paraId="250FDAF2" w14:textId="2C8F57AF" w:rsidR="00BA09D4" w:rsidRDefault="003D3404" w:rsidP="00BA09D4">
      <w:r>
        <w:t xml:space="preserve">Eleven </w:t>
      </w:r>
      <w:r w:rsidR="0005561E">
        <w:t xml:space="preserve">high-functioning </w:t>
      </w:r>
      <w:r>
        <w:t xml:space="preserve">people with a total hip </w:t>
      </w:r>
      <w:r w:rsidR="00F41A4B">
        <w:t xml:space="preserve">replacement </w:t>
      </w:r>
      <w:r>
        <w:t>(55.9 [9.8] years)</w:t>
      </w:r>
      <w:r w:rsidR="0005561E">
        <w:t xml:space="preserve"> </w:t>
      </w:r>
      <w:r>
        <w:t>enrolled. Three-dimensional (3D) optical motion capture (Vicon, Oxford, UK) with in-ground force plates (Kister, Switzerland) and an instrumented treadmill (Bertec, USA) were used.</w:t>
      </w:r>
      <w:r w:rsidR="00BA09D4">
        <w:t xml:space="preserve"> Participants performed </w:t>
      </w:r>
      <w:r w:rsidR="00442D42">
        <w:t xml:space="preserve">both overground and treadmill walking and running (various slopes and cadences), </w:t>
      </w:r>
      <w:r w:rsidR="00BA09D4">
        <w:t>countermovement jump</w:t>
      </w:r>
      <w:r w:rsidR="00442D42">
        <w:t>s</w:t>
      </w:r>
      <w:r w:rsidR="00BA09D4">
        <w:t>, unilateral and bilateral hopping</w:t>
      </w:r>
      <w:r>
        <w:t xml:space="preserve">, drop landing, and change of direction </w:t>
      </w:r>
      <w:r w:rsidR="00442D42">
        <w:t>(COD)</w:t>
      </w:r>
      <w:r>
        <w:t xml:space="preserve"> at various </w:t>
      </w:r>
      <w:r w:rsidR="00BA09D4">
        <w:t>intensity levels.</w:t>
      </w:r>
    </w:p>
    <w:p w14:paraId="1AA5BB9E" w14:textId="1DDB1195" w:rsidR="00A632D2" w:rsidRDefault="00A632D2" w:rsidP="00BA09D4">
      <w:pPr>
        <w:pStyle w:val="Heading1"/>
        <w:rPr>
          <w:rFonts w:eastAsia="Arial"/>
          <w:b w:val="0"/>
          <w:bCs w:val="0"/>
          <w:kern w:val="0"/>
          <w:szCs w:val="24"/>
        </w:rPr>
      </w:pPr>
      <w:r w:rsidRPr="00A632D2">
        <w:rPr>
          <w:rFonts w:eastAsia="Arial"/>
          <w:b w:val="0"/>
          <w:bCs w:val="0"/>
          <w:kern w:val="0"/>
          <w:szCs w:val="24"/>
        </w:rPr>
        <w:t xml:space="preserve">Musculoskeletal simulations </w:t>
      </w:r>
      <w:r w:rsidR="0086553F">
        <w:rPr>
          <w:rFonts w:eastAsia="Arial"/>
          <w:b w:val="0"/>
          <w:bCs w:val="0"/>
          <w:kern w:val="0"/>
          <w:szCs w:val="24"/>
        </w:rPr>
        <w:t xml:space="preserve">to calculate muscle forces, hip and knee contact forces </w:t>
      </w:r>
      <w:r w:rsidRPr="00A632D2">
        <w:rPr>
          <w:rFonts w:eastAsia="Arial"/>
          <w:b w:val="0"/>
          <w:bCs w:val="0"/>
          <w:kern w:val="0"/>
          <w:szCs w:val="24"/>
        </w:rPr>
        <w:t xml:space="preserve">were performed (AnyBody Modeling System, Denmark). A detailed musculoskeletal model of the </w:t>
      </w:r>
      <w:r w:rsidR="0086553F">
        <w:rPr>
          <w:rFonts w:eastAsia="Arial"/>
          <w:b w:val="0"/>
          <w:bCs w:val="0"/>
          <w:kern w:val="0"/>
          <w:szCs w:val="24"/>
        </w:rPr>
        <w:t xml:space="preserve">trunk and lower limbs was scaled to </w:t>
      </w:r>
      <w:r w:rsidRPr="00A632D2">
        <w:rPr>
          <w:rFonts w:eastAsia="Arial"/>
          <w:b w:val="0"/>
          <w:bCs w:val="0"/>
          <w:kern w:val="0"/>
          <w:szCs w:val="24"/>
        </w:rPr>
        <w:t xml:space="preserve">match </w:t>
      </w:r>
      <w:r w:rsidR="0086553F">
        <w:rPr>
          <w:rFonts w:eastAsia="Arial"/>
          <w:b w:val="0"/>
          <w:bCs w:val="0"/>
          <w:kern w:val="0"/>
          <w:szCs w:val="24"/>
        </w:rPr>
        <w:t>each participant’s anthropometry</w:t>
      </w:r>
      <w:r w:rsidRPr="00A632D2">
        <w:rPr>
          <w:rFonts w:eastAsia="Arial"/>
          <w:b w:val="0"/>
          <w:bCs w:val="0"/>
          <w:kern w:val="0"/>
          <w:szCs w:val="24"/>
        </w:rPr>
        <w:t xml:space="preserve"> based on </w:t>
      </w:r>
      <w:r w:rsidR="0086553F">
        <w:rPr>
          <w:rFonts w:eastAsia="Arial"/>
          <w:b w:val="0"/>
          <w:bCs w:val="0"/>
          <w:kern w:val="0"/>
          <w:szCs w:val="24"/>
        </w:rPr>
        <w:t>a static calibration trial</w:t>
      </w:r>
      <w:r w:rsidRPr="00A632D2">
        <w:rPr>
          <w:rFonts w:eastAsia="Arial"/>
          <w:b w:val="0"/>
          <w:bCs w:val="0"/>
          <w:kern w:val="0"/>
          <w:szCs w:val="24"/>
        </w:rPr>
        <w:t xml:space="preserve">. Marker trajectories and GRF data from each gait trial served as input to an inverse dynamics analysis, based on a </w:t>
      </w:r>
      <w:r w:rsidR="00442D42">
        <w:rPr>
          <w:rFonts w:eastAsia="Arial"/>
          <w:b w:val="0"/>
          <w:bCs w:val="0"/>
          <w:kern w:val="0"/>
          <w:szCs w:val="24"/>
        </w:rPr>
        <w:t>third-order polynomial</w:t>
      </w:r>
      <w:r w:rsidRPr="00A632D2">
        <w:rPr>
          <w:rFonts w:eastAsia="Arial"/>
          <w:b w:val="0"/>
          <w:bCs w:val="0"/>
          <w:kern w:val="0"/>
          <w:szCs w:val="24"/>
        </w:rPr>
        <w:t xml:space="preserve"> muscle recruitment criterion. </w:t>
      </w:r>
      <w:r w:rsidR="001408CC">
        <w:rPr>
          <w:rFonts w:eastAsia="Arial"/>
          <w:b w:val="0"/>
          <w:bCs w:val="0"/>
          <w:kern w:val="0"/>
          <w:szCs w:val="24"/>
        </w:rPr>
        <w:t>The peak resultant</w:t>
      </w:r>
      <w:r w:rsidR="00AE1984">
        <w:rPr>
          <w:rFonts w:eastAsia="Arial"/>
          <w:b w:val="0"/>
          <w:bCs w:val="0"/>
          <w:kern w:val="0"/>
          <w:szCs w:val="24"/>
        </w:rPr>
        <w:t xml:space="preserve"> hip</w:t>
      </w:r>
      <w:r w:rsidR="001408CC">
        <w:rPr>
          <w:rFonts w:eastAsia="Arial"/>
          <w:b w:val="0"/>
          <w:bCs w:val="0"/>
          <w:kern w:val="0"/>
          <w:szCs w:val="24"/>
        </w:rPr>
        <w:t xml:space="preserve"> contact force</w:t>
      </w:r>
      <w:r w:rsidR="00AE1984">
        <w:rPr>
          <w:rFonts w:eastAsia="Arial"/>
          <w:b w:val="0"/>
          <w:bCs w:val="0"/>
          <w:kern w:val="0"/>
          <w:szCs w:val="24"/>
        </w:rPr>
        <w:t xml:space="preserve"> was</w:t>
      </w:r>
      <w:r w:rsidR="001408CC">
        <w:rPr>
          <w:rFonts w:eastAsia="Arial"/>
          <w:b w:val="0"/>
          <w:bCs w:val="0"/>
          <w:kern w:val="0"/>
          <w:szCs w:val="24"/>
        </w:rPr>
        <w:t xml:space="preserve"> calculated and normalized to the body weight (BW).</w:t>
      </w:r>
    </w:p>
    <w:p w14:paraId="46980098" w14:textId="77777777" w:rsidR="0005561E" w:rsidRDefault="0005561E" w:rsidP="00785CED"/>
    <w:p w14:paraId="52B49BD3" w14:textId="1C05069D" w:rsidR="00495908" w:rsidRDefault="00495908" w:rsidP="00785CED">
      <w:r w:rsidRPr="00495908">
        <w:t>Results</w:t>
      </w:r>
    </w:p>
    <w:p w14:paraId="2DABAF81" w14:textId="1312C8F8" w:rsidR="00785CED" w:rsidRDefault="00B422B4" w:rsidP="00785CED">
      <w:r>
        <w:t xml:space="preserve">Self-paced overground walking created 5.00 BW (95%CI 4.35 to 4.64 BW) of load at the hip. </w:t>
      </w:r>
      <w:r w:rsidR="00442D42">
        <w:t>COD</w:t>
      </w:r>
      <w:r w:rsidR="001441CA">
        <w:t>, unilateral hopping, and running</w:t>
      </w:r>
      <w:r w:rsidR="00442D42">
        <w:t xml:space="preserve"> placed &gt;1.5 times the load</w:t>
      </w:r>
      <w:r w:rsidR="001441CA">
        <w:t xml:space="preserve"> (~ &gt;8BW</w:t>
      </w:r>
      <w:r w:rsidR="00CC2FA6">
        <w:t>, all P &lt;0.001</w:t>
      </w:r>
      <w:r w:rsidR="001441CA">
        <w:t>)</w:t>
      </w:r>
      <w:r w:rsidR="00442D42">
        <w:t xml:space="preserve"> on the implant compared </w:t>
      </w:r>
      <w:r w:rsidR="001441CA">
        <w:t xml:space="preserve">to </w:t>
      </w:r>
      <w:r w:rsidR="00442D42">
        <w:t xml:space="preserve">walking. </w:t>
      </w:r>
      <w:r w:rsidR="00B472BA">
        <w:t xml:space="preserve">Walking on a treadmill with and without slopes, and jumping, placed similar loads on the hip implant compared to walking. </w:t>
      </w:r>
    </w:p>
    <w:p w14:paraId="39207A5B" w14:textId="77777777" w:rsidR="00495908" w:rsidRDefault="00495908" w:rsidP="00F329D7">
      <w:pPr>
        <w:pStyle w:val="Heading1"/>
        <w:rPr>
          <w:rFonts w:eastAsia="Arial"/>
          <w:b w:val="0"/>
          <w:bCs w:val="0"/>
          <w:kern w:val="0"/>
          <w:szCs w:val="24"/>
        </w:rPr>
      </w:pPr>
      <w:r w:rsidRPr="00495908">
        <w:rPr>
          <w:rFonts w:eastAsia="Arial"/>
          <w:b w:val="0"/>
          <w:bCs w:val="0"/>
          <w:kern w:val="0"/>
          <w:szCs w:val="24"/>
        </w:rPr>
        <w:t>Conclusions/Discussion</w:t>
      </w:r>
    </w:p>
    <w:p w14:paraId="72609ECD" w14:textId="4791A2D4" w:rsidR="00D5092E" w:rsidRDefault="00AB506D" w:rsidP="00F329D7">
      <w:pPr>
        <w:pStyle w:val="Heading1"/>
        <w:rPr>
          <w:rFonts w:eastAsia="Arial"/>
          <w:b w:val="0"/>
          <w:bCs w:val="0"/>
          <w:kern w:val="0"/>
          <w:szCs w:val="24"/>
        </w:rPr>
      </w:pPr>
      <w:r>
        <w:rPr>
          <w:rFonts w:eastAsia="Arial"/>
          <w:b w:val="0"/>
          <w:bCs w:val="0"/>
          <w:kern w:val="0"/>
          <w:szCs w:val="24"/>
        </w:rPr>
        <w:t xml:space="preserve">Optimal loads that stimulate bone adaptations, without a greater risk to implant health, need to be determined. These rankings represent the first comparative data that can inform the development of a training program in preventing bone loss in people with a joint replacement, and future load testing protocols on joint implants. </w:t>
      </w:r>
    </w:p>
    <w:p w14:paraId="5AF947F9" w14:textId="77777777" w:rsidR="00AB506D" w:rsidRDefault="00AB506D" w:rsidP="00AB506D">
      <w:pPr>
        <w:pStyle w:val="Acknowledgements"/>
        <w:sectPr w:rsidR="00AB506D" w:rsidSect="00AB506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8CEB8A" w14:textId="77777777" w:rsidR="00AB506D" w:rsidRPr="00AB506D" w:rsidRDefault="00AB506D" w:rsidP="00AB506D"/>
    <w:p w14:paraId="31F9CE5B" w14:textId="77777777" w:rsidR="004319EC" w:rsidRPr="00C03FC1" w:rsidRDefault="004319EC" w:rsidP="00BA09D4">
      <w:pPr>
        <w:pStyle w:val="Heading1"/>
      </w:pPr>
      <w:bookmarkStart w:id="0" w:name="_heading=h.gjdgxs"/>
      <w:bookmarkEnd w:id="0"/>
      <w:r>
        <w:lastRenderedPageBreak/>
        <w:t>Acknowledgements</w:t>
      </w:r>
    </w:p>
    <w:p w14:paraId="576E408A" w14:textId="76717720" w:rsidR="004319EC" w:rsidRDefault="004319EC" w:rsidP="004319EC">
      <w:pPr>
        <w:pStyle w:val="Acknowledgements"/>
      </w:pPr>
      <w:r w:rsidRPr="00854E8E">
        <w:t xml:space="preserve">This work was </w:t>
      </w:r>
      <w:r w:rsidR="00BB7058">
        <w:t>funded</w:t>
      </w:r>
      <w:r w:rsidRPr="00854E8E">
        <w:t xml:space="preserve"> by </w:t>
      </w:r>
      <w:r w:rsidR="00BB7058">
        <w:t>the Medical Research Council</w:t>
      </w:r>
      <w:r w:rsidRPr="00733D0B">
        <w:t xml:space="preserve"> (</w:t>
      </w:r>
      <w:r w:rsidR="00BB7058">
        <w:t>MR/Y013557/1</w:t>
      </w:r>
      <w:r w:rsidRPr="00733D0B">
        <w:t>)</w:t>
      </w:r>
      <w:r w:rsidRPr="00854E8E">
        <w:t>.</w:t>
      </w:r>
    </w:p>
    <w:p w14:paraId="0F745F89" w14:textId="77777777" w:rsidR="00BB7058" w:rsidRDefault="00BB7058" w:rsidP="004319EC">
      <w:pPr>
        <w:pStyle w:val="Acknowledgements"/>
      </w:pPr>
    </w:p>
    <w:p w14:paraId="11F61402" w14:textId="37494D93" w:rsidR="001D2F7D" w:rsidRPr="00495908" w:rsidRDefault="001D2F7D" w:rsidP="004319EC">
      <w:pPr>
        <w:rPr>
          <w:lang w:val="en-GB"/>
        </w:rPr>
      </w:pPr>
    </w:p>
    <w:sectPr w:rsidR="001D2F7D" w:rsidRPr="00495908" w:rsidSect="00BB705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A6"/>
    <w:multiLevelType w:val="hybridMultilevel"/>
    <w:tmpl w:val="EDE03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0A8E"/>
    <w:multiLevelType w:val="hybridMultilevel"/>
    <w:tmpl w:val="B13E1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0EED"/>
    <w:multiLevelType w:val="hybridMultilevel"/>
    <w:tmpl w:val="A1F26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D1F"/>
    <w:multiLevelType w:val="hybridMultilevel"/>
    <w:tmpl w:val="8F3C8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D5468"/>
    <w:multiLevelType w:val="hybridMultilevel"/>
    <w:tmpl w:val="C846DCF4"/>
    <w:lvl w:ilvl="0" w:tplc="0809000F">
      <w:start w:val="1"/>
      <w:numFmt w:val="decimal"/>
      <w:lvlText w:val="%1."/>
      <w:lvlJc w:val="lef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54AC15F0"/>
    <w:multiLevelType w:val="multilevel"/>
    <w:tmpl w:val="74184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0C6"/>
    <w:multiLevelType w:val="hybridMultilevel"/>
    <w:tmpl w:val="FD0AF42E"/>
    <w:lvl w:ilvl="0" w:tplc="277E907E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602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700202">
    <w:abstractNumId w:val="4"/>
  </w:num>
  <w:num w:numId="3" w16cid:durableId="1600016880">
    <w:abstractNumId w:val="2"/>
  </w:num>
  <w:num w:numId="4" w16cid:durableId="577787130">
    <w:abstractNumId w:val="1"/>
  </w:num>
  <w:num w:numId="5" w16cid:durableId="1949578536">
    <w:abstractNumId w:val="3"/>
  </w:num>
  <w:num w:numId="6" w16cid:durableId="729495061">
    <w:abstractNumId w:val="0"/>
  </w:num>
  <w:num w:numId="7" w16cid:durableId="405225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GrantRefType2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fffvwt0xf0wme0tt1pxrd7pvpxdasfwtvf&quot;&gt;Bernard_library_2022-Converted&lt;record-ids&gt;&lt;item&gt;16060&lt;/item&gt;&lt;item&gt;17444&lt;/item&gt;&lt;/record-ids&gt;&lt;/item&gt;&lt;/Libraries&gt;"/>
  </w:docVars>
  <w:rsids>
    <w:rsidRoot w:val="00C31DB0"/>
    <w:rsid w:val="00034D82"/>
    <w:rsid w:val="00034D86"/>
    <w:rsid w:val="0005561E"/>
    <w:rsid w:val="0005740B"/>
    <w:rsid w:val="00061A3C"/>
    <w:rsid w:val="000778AE"/>
    <w:rsid w:val="000874A2"/>
    <w:rsid w:val="0009115D"/>
    <w:rsid w:val="0009204B"/>
    <w:rsid w:val="00092765"/>
    <w:rsid w:val="00097EEE"/>
    <w:rsid w:val="000B7E2F"/>
    <w:rsid w:val="000C0D81"/>
    <w:rsid w:val="000C21C8"/>
    <w:rsid w:val="000D0671"/>
    <w:rsid w:val="000E653F"/>
    <w:rsid w:val="00123885"/>
    <w:rsid w:val="001408CC"/>
    <w:rsid w:val="001441CA"/>
    <w:rsid w:val="001A5028"/>
    <w:rsid w:val="001B18D4"/>
    <w:rsid w:val="001C2587"/>
    <w:rsid w:val="001C66A7"/>
    <w:rsid w:val="001D2F7D"/>
    <w:rsid w:val="001E74D4"/>
    <w:rsid w:val="00227A7D"/>
    <w:rsid w:val="00227E0C"/>
    <w:rsid w:val="00237F51"/>
    <w:rsid w:val="00276394"/>
    <w:rsid w:val="00284458"/>
    <w:rsid w:val="002C53CF"/>
    <w:rsid w:val="0031344B"/>
    <w:rsid w:val="0031728C"/>
    <w:rsid w:val="00332F72"/>
    <w:rsid w:val="003D3404"/>
    <w:rsid w:val="003D5648"/>
    <w:rsid w:val="00414208"/>
    <w:rsid w:val="00427590"/>
    <w:rsid w:val="004319EC"/>
    <w:rsid w:val="00433F64"/>
    <w:rsid w:val="00442D42"/>
    <w:rsid w:val="00453E3B"/>
    <w:rsid w:val="0047590D"/>
    <w:rsid w:val="00492F02"/>
    <w:rsid w:val="00495908"/>
    <w:rsid w:val="004B4E8B"/>
    <w:rsid w:val="004C2B85"/>
    <w:rsid w:val="004C4B1F"/>
    <w:rsid w:val="004F59D3"/>
    <w:rsid w:val="00544596"/>
    <w:rsid w:val="005579AB"/>
    <w:rsid w:val="00566477"/>
    <w:rsid w:val="005C13BA"/>
    <w:rsid w:val="005D3A00"/>
    <w:rsid w:val="00606778"/>
    <w:rsid w:val="0063383C"/>
    <w:rsid w:val="006558D9"/>
    <w:rsid w:val="00672FB9"/>
    <w:rsid w:val="006826BF"/>
    <w:rsid w:val="006F0207"/>
    <w:rsid w:val="00723949"/>
    <w:rsid w:val="00780573"/>
    <w:rsid w:val="00785CED"/>
    <w:rsid w:val="007E70A5"/>
    <w:rsid w:val="00826FCF"/>
    <w:rsid w:val="00852EFC"/>
    <w:rsid w:val="00853B84"/>
    <w:rsid w:val="00865362"/>
    <w:rsid w:val="0086553F"/>
    <w:rsid w:val="00877F8A"/>
    <w:rsid w:val="008A13BB"/>
    <w:rsid w:val="008C27EA"/>
    <w:rsid w:val="009013AC"/>
    <w:rsid w:val="00902A4D"/>
    <w:rsid w:val="00932B4A"/>
    <w:rsid w:val="009654B7"/>
    <w:rsid w:val="00995C5C"/>
    <w:rsid w:val="009B6913"/>
    <w:rsid w:val="009C01D4"/>
    <w:rsid w:val="00A52DFA"/>
    <w:rsid w:val="00A632D2"/>
    <w:rsid w:val="00AB506D"/>
    <w:rsid w:val="00AC128D"/>
    <w:rsid w:val="00AE08B2"/>
    <w:rsid w:val="00AE1984"/>
    <w:rsid w:val="00B0592D"/>
    <w:rsid w:val="00B14185"/>
    <w:rsid w:val="00B422B4"/>
    <w:rsid w:val="00B472BA"/>
    <w:rsid w:val="00B54B96"/>
    <w:rsid w:val="00B93956"/>
    <w:rsid w:val="00BA09D4"/>
    <w:rsid w:val="00BB6590"/>
    <w:rsid w:val="00BB7058"/>
    <w:rsid w:val="00BC279C"/>
    <w:rsid w:val="00BD3305"/>
    <w:rsid w:val="00C31DB0"/>
    <w:rsid w:val="00C373C0"/>
    <w:rsid w:val="00C4451D"/>
    <w:rsid w:val="00C57BD6"/>
    <w:rsid w:val="00C57C11"/>
    <w:rsid w:val="00C77F58"/>
    <w:rsid w:val="00CC2FA6"/>
    <w:rsid w:val="00CC52F7"/>
    <w:rsid w:val="00CD3636"/>
    <w:rsid w:val="00CF5CA5"/>
    <w:rsid w:val="00D136E7"/>
    <w:rsid w:val="00D30E6A"/>
    <w:rsid w:val="00D42526"/>
    <w:rsid w:val="00D5092E"/>
    <w:rsid w:val="00D93465"/>
    <w:rsid w:val="00D93755"/>
    <w:rsid w:val="00D94535"/>
    <w:rsid w:val="00DD06FF"/>
    <w:rsid w:val="00DE37E6"/>
    <w:rsid w:val="00E259D5"/>
    <w:rsid w:val="00E2673B"/>
    <w:rsid w:val="00E329CC"/>
    <w:rsid w:val="00E44259"/>
    <w:rsid w:val="00E82FD6"/>
    <w:rsid w:val="00E84208"/>
    <w:rsid w:val="00EC228A"/>
    <w:rsid w:val="00F16271"/>
    <w:rsid w:val="00F329D7"/>
    <w:rsid w:val="00F418D1"/>
    <w:rsid w:val="00F41A4B"/>
    <w:rsid w:val="00F459D8"/>
    <w:rsid w:val="00F471A9"/>
    <w:rsid w:val="00F57145"/>
    <w:rsid w:val="00F71233"/>
    <w:rsid w:val="00FB439B"/>
    <w:rsid w:val="00FC2051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C52AC"/>
  <w15:docId w15:val="{2D09834F-D07D-4A22-9B8A-7E6270A7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D7"/>
    <w:pPr>
      <w:spacing w:after="0" w:line="240" w:lineRule="auto"/>
      <w:jc w:val="both"/>
    </w:pPr>
    <w:rPr>
      <w:rFonts w:eastAsia="Arial" w:cstheme="minorHAnsi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63383C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383C"/>
    <w:rPr>
      <w:rFonts w:ascii="Arial" w:eastAsia="Times New Roman" w:hAnsi="Arial" w:cs="Arial"/>
      <w:b/>
      <w:bCs/>
      <w:kern w:val="32"/>
      <w:szCs w:val="32"/>
      <w:lang w:val="en-US" w:eastAsia="en-GB"/>
    </w:rPr>
  </w:style>
  <w:style w:type="paragraph" w:styleId="Title">
    <w:name w:val="Title"/>
    <w:basedOn w:val="Normal"/>
    <w:link w:val="TitleChar"/>
    <w:qFormat/>
    <w:rsid w:val="0063383C"/>
    <w:pPr>
      <w:spacing w:before="100" w:beforeAutospacing="1" w:after="100" w:afterAutospacing="1"/>
      <w:jc w:val="center"/>
      <w:outlineLvl w:val="0"/>
    </w:pPr>
    <w:rPr>
      <w:b/>
      <w:bCs/>
      <w:caps/>
      <w:kern w:val="28"/>
      <w:sz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63383C"/>
    <w:rPr>
      <w:rFonts w:ascii="Arial" w:eastAsia="Arial" w:hAnsi="Arial" w:cs="Arial"/>
      <w:b/>
      <w:bCs/>
      <w:caps/>
      <w:kern w:val="28"/>
      <w:sz w:val="28"/>
      <w:szCs w:val="32"/>
      <w:lang w:eastAsia="en-GB"/>
    </w:rPr>
  </w:style>
  <w:style w:type="table" w:styleId="TableGrid">
    <w:name w:val="Table Grid"/>
    <w:basedOn w:val="TableNormal"/>
    <w:uiPriority w:val="39"/>
    <w:rsid w:val="0063383C"/>
    <w:pPr>
      <w:spacing w:after="0" w:line="240" w:lineRule="auto"/>
      <w:jc w:val="both"/>
    </w:pPr>
    <w:rPr>
      <w:rFonts w:ascii="Arial" w:eastAsia="Arial" w:hAnsi="Arial" w:cs="Arial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3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1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D4"/>
    <w:rPr>
      <w:rFonts w:ascii="Times New Roman" w:eastAsia="Arial" w:hAnsi="Times New Roman" w:cs="Times New Roman"/>
      <w:sz w:val="18"/>
      <w:szCs w:val="18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0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1D4"/>
    <w:rPr>
      <w:rFonts w:ascii="Arial" w:eastAsia="Arial" w:hAnsi="Arial" w:cs="Arial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1D4"/>
    <w:rPr>
      <w:rFonts w:ascii="Arial" w:eastAsia="Arial" w:hAnsi="Arial" w:cs="Arial"/>
      <w:b/>
      <w:bCs/>
      <w:sz w:val="20"/>
      <w:szCs w:val="20"/>
      <w:lang w:val="en-US" w:eastAsia="en-GB"/>
    </w:rPr>
  </w:style>
  <w:style w:type="character" w:customStyle="1" w:styleId="text">
    <w:name w:val="text"/>
    <w:basedOn w:val="DefaultParagraphFont"/>
    <w:rsid w:val="001E74D4"/>
  </w:style>
  <w:style w:type="table" w:styleId="LightShading">
    <w:name w:val="Light Shading"/>
    <w:basedOn w:val="TableNormal"/>
    <w:uiPriority w:val="60"/>
    <w:rsid w:val="00C57B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References">
    <w:name w:val="References"/>
    <w:basedOn w:val="Normal"/>
    <w:qFormat/>
    <w:rsid w:val="004319EC"/>
    <w:pPr>
      <w:numPr>
        <w:numId w:val="7"/>
      </w:numPr>
      <w:ind w:left="227" w:hanging="227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Heading">
    <w:name w:val="Heading"/>
    <w:basedOn w:val="Heading2"/>
    <w:qFormat/>
    <w:rsid w:val="004319EC"/>
    <w:pPr>
      <w:keepLines w:val="0"/>
      <w:spacing w:before="0" w:after="60"/>
    </w:pPr>
    <w:rPr>
      <w:rFonts w:ascii="Arial" w:eastAsia="Times New Roman" w:hAnsi="Arial" w:cs="Arial"/>
      <w:b/>
      <w:bCs/>
      <w:iCs/>
      <w:color w:val="auto"/>
      <w:sz w:val="24"/>
      <w:szCs w:val="28"/>
      <w:lang w:val="en-GB" w:eastAsia="en-US"/>
    </w:rPr>
  </w:style>
  <w:style w:type="paragraph" w:customStyle="1" w:styleId="Acknowledgements">
    <w:name w:val="Acknowledgements"/>
    <w:basedOn w:val="Normal"/>
    <w:link w:val="AcknowledgementsChar"/>
    <w:qFormat/>
    <w:rsid w:val="004319EC"/>
    <w:rPr>
      <w:rFonts w:ascii="Times New Roman" w:eastAsia="Times New Roman" w:hAnsi="Times New Roman" w:cs="Times New Roman"/>
      <w:sz w:val="18"/>
      <w:szCs w:val="16"/>
      <w:lang w:val="en-GB" w:eastAsia="en-US"/>
    </w:rPr>
  </w:style>
  <w:style w:type="character" w:customStyle="1" w:styleId="AcknowledgementsChar">
    <w:name w:val="Acknowledgements Char"/>
    <w:basedOn w:val="DefaultParagraphFont"/>
    <w:link w:val="Acknowledgements"/>
    <w:rsid w:val="004319EC"/>
    <w:rPr>
      <w:rFonts w:ascii="Times New Roman" w:eastAsia="Times New Roman" w:hAnsi="Times New Roman" w:cs="Times New Roman"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9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AB506D"/>
    <w:pPr>
      <w:jc w:val="center"/>
    </w:pPr>
    <w:rPr>
      <w:rFonts w:ascii="Calibri" w:hAnsi="Calibri" w:cs="Calibri"/>
      <w:noProof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506D"/>
    <w:rPr>
      <w:rFonts w:ascii="Calibri" w:eastAsia="Arial" w:hAnsi="Calibri" w:cs="Calibri"/>
      <w:noProof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AB506D"/>
    <w:rPr>
      <w:rFonts w:ascii="Calibri" w:hAnsi="Calibri" w:cs="Calibri"/>
      <w:noProof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AB506D"/>
    <w:rPr>
      <w:rFonts w:ascii="Calibri" w:eastAsia="Arial" w:hAnsi="Calibri" w:cs="Calibri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450</Words>
  <Characters>2621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Altai, Zainab</dc:creator>
  <cp:lastModifiedBy>Liew, Bernard</cp:lastModifiedBy>
  <cp:revision>63</cp:revision>
  <dcterms:created xsi:type="dcterms:W3CDTF">2021-12-12T22:14:00Z</dcterms:created>
  <dcterms:modified xsi:type="dcterms:W3CDTF">2025-11-06T11:23:00Z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4dd08cbb-2c35-4e36-ac7b-c6d4c91c91c7</vt:lpwstr>
  </property>
</Properties>
</file>